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国际贸易原理与实务 A卷</w:t>
      </w:r>
    </w:p>
    <w:p>
      <w:pPr>
        <w:rPr>
          <w:rFonts w:hint="eastAsia"/>
          <w:sz w:val="32"/>
          <w:szCs w:val="32"/>
          <w:lang w:val="en-US" w:eastAsia="zh-CN"/>
        </w:rPr>
      </w:pPr>
      <w:r>
        <w:rPr>
          <w:rFonts w:hint="eastAsia" w:ascii="宋体" w:hAnsi="宋体" w:cs="宋体"/>
          <w:b/>
          <w:bCs/>
          <w:sz w:val="32"/>
          <w:szCs w:val="32"/>
        </w:rPr>
        <w:t xml:space="preserve"> </w:t>
      </w:r>
      <w:r>
        <w:rPr>
          <w:rFonts w:hint="eastAsia" w:ascii="宋体" w:hAnsi="宋体" w:cs="宋体"/>
          <w:b/>
          <w:color w:val="000000" w:themeColor="text1"/>
          <w:sz w:val="32"/>
          <w:szCs w:val="32"/>
          <w14:textFill>
            <w14:solidFill>
              <w14:schemeClr w14:val="tx1"/>
            </w14:solidFill>
          </w14:textFill>
        </w:rPr>
        <w:t>一、单项选择题</w:t>
      </w:r>
    </w:p>
    <w:p>
      <w:pPr>
        <w:rPr>
          <w:rFonts w:hint="eastAsia"/>
          <w:sz w:val="32"/>
          <w:szCs w:val="32"/>
          <w:lang w:val="en-US" w:eastAsia="zh-CN"/>
        </w:rPr>
      </w:pPr>
      <w:r>
        <w:rPr>
          <w:rFonts w:hint="eastAsia"/>
          <w:sz w:val="32"/>
          <w:szCs w:val="32"/>
          <w:lang w:val="en-US" w:eastAsia="zh-CN"/>
        </w:rPr>
        <w:t>1-5DDBAC</w:t>
      </w:r>
    </w:p>
    <w:p>
      <w:pPr>
        <w:rPr>
          <w:rFonts w:hint="eastAsia"/>
          <w:sz w:val="32"/>
          <w:szCs w:val="32"/>
          <w:lang w:val="en-US" w:eastAsia="zh-CN"/>
        </w:rPr>
      </w:pPr>
      <w:r>
        <w:rPr>
          <w:rFonts w:hint="eastAsia"/>
          <w:sz w:val="32"/>
          <w:szCs w:val="32"/>
          <w:lang w:val="en-US" w:eastAsia="zh-CN"/>
        </w:rPr>
        <w:t>6-10CCCBC</w:t>
      </w:r>
    </w:p>
    <w:p>
      <w:pPr>
        <w:pStyle w:val="2"/>
        <w:spacing w:beforeLines="0"/>
        <w:rPr>
          <w:rFonts w:ascii="宋体" w:hAnsi="宋体"/>
          <w:bCs/>
          <w:color w:val="auto"/>
        </w:rPr>
      </w:pPr>
      <w:r>
        <w:rPr>
          <w:rFonts w:hint="eastAsia" w:ascii="宋体" w:hAnsi="宋体"/>
          <w:bCs/>
          <w:color w:val="auto"/>
        </w:rPr>
        <w:t>二、多项选择题</w:t>
      </w:r>
    </w:p>
    <w:p>
      <w:pPr>
        <w:spacing w:line="360" w:lineRule="auto"/>
        <w:rPr>
          <w:rFonts w:hint="eastAsia" w:asciiTheme="minorEastAsia" w:hAnsiTheme="minorEastAsia"/>
          <w:sz w:val="24"/>
          <w:highlight w:val="none"/>
          <w:lang w:val="en-US" w:eastAsia="zh-CN"/>
        </w:rPr>
      </w:pPr>
      <w:r>
        <w:rPr>
          <w:rFonts w:hint="eastAsia" w:asciiTheme="minorEastAsia" w:hAnsiTheme="minorEastAsia"/>
          <w:sz w:val="24"/>
          <w:highlight w:val="none"/>
          <w:lang w:val="en-US" w:eastAsia="zh-CN"/>
        </w:rPr>
        <w:t xml:space="preserve">1、CD </w:t>
      </w:r>
    </w:p>
    <w:p>
      <w:pPr>
        <w:spacing w:line="360" w:lineRule="auto"/>
        <w:rPr>
          <w:rFonts w:hint="eastAsia" w:asciiTheme="minorEastAsia" w:hAnsiTheme="minorEastAsia"/>
          <w:sz w:val="24"/>
          <w:highlight w:val="none"/>
          <w:lang w:val="en-US" w:eastAsia="zh-CN"/>
        </w:rPr>
      </w:pPr>
      <w:r>
        <w:rPr>
          <w:rFonts w:hint="eastAsia" w:asciiTheme="minorEastAsia" w:hAnsiTheme="minorEastAsia"/>
          <w:sz w:val="24"/>
          <w:highlight w:val="none"/>
          <w:lang w:val="en-US" w:eastAsia="zh-CN"/>
        </w:rPr>
        <w:t xml:space="preserve">2、ABC </w:t>
      </w:r>
    </w:p>
    <w:p>
      <w:pPr>
        <w:spacing w:line="360" w:lineRule="auto"/>
        <w:rPr>
          <w:rFonts w:hint="eastAsia" w:asciiTheme="minorEastAsia" w:hAnsiTheme="minorEastAsia"/>
          <w:sz w:val="24"/>
          <w:highlight w:val="none"/>
          <w:lang w:val="en-US" w:eastAsia="zh-CN"/>
        </w:rPr>
      </w:pPr>
      <w:r>
        <w:rPr>
          <w:rFonts w:hint="eastAsia" w:asciiTheme="minorEastAsia" w:hAnsiTheme="minorEastAsia"/>
          <w:sz w:val="24"/>
          <w:highlight w:val="none"/>
          <w:lang w:val="en-US" w:eastAsia="zh-CN"/>
        </w:rPr>
        <w:t xml:space="preserve">3、ACD </w:t>
      </w:r>
    </w:p>
    <w:p>
      <w:pPr>
        <w:spacing w:line="360" w:lineRule="auto"/>
        <w:rPr>
          <w:rFonts w:hint="eastAsia" w:asciiTheme="minorEastAsia" w:hAnsiTheme="minorEastAsia"/>
          <w:sz w:val="24"/>
          <w:highlight w:val="none"/>
          <w:lang w:val="en-US" w:eastAsia="zh-CN"/>
        </w:rPr>
      </w:pPr>
      <w:r>
        <w:rPr>
          <w:rFonts w:hint="eastAsia" w:asciiTheme="minorEastAsia" w:hAnsiTheme="minorEastAsia"/>
          <w:sz w:val="24"/>
          <w:highlight w:val="none"/>
          <w:lang w:val="en-US" w:eastAsia="zh-CN"/>
        </w:rPr>
        <w:t xml:space="preserve">4、ACD </w:t>
      </w:r>
    </w:p>
    <w:p>
      <w:pPr>
        <w:spacing w:line="360" w:lineRule="auto"/>
        <w:rPr>
          <w:rFonts w:hint="eastAsia" w:asciiTheme="minorEastAsia" w:hAnsiTheme="minorEastAsia"/>
          <w:sz w:val="24"/>
          <w:highlight w:val="none"/>
          <w:lang w:val="en-US" w:eastAsia="zh-CN"/>
        </w:rPr>
      </w:pPr>
      <w:r>
        <w:rPr>
          <w:rFonts w:hint="eastAsia" w:asciiTheme="minorEastAsia" w:hAnsiTheme="minorEastAsia"/>
          <w:sz w:val="24"/>
          <w:highlight w:val="none"/>
          <w:lang w:val="en-US" w:eastAsia="zh-CN"/>
        </w:rPr>
        <w:t>5、</w:t>
      </w:r>
      <w:bookmarkStart w:id="0" w:name="_GoBack"/>
      <w:bookmarkEnd w:id="0"/>
      <w:r>
        <w:rPr>
          <w:rFonts w:hint="eastAsia" w:asciiTheme="minorEastAsia" w:hAnsiTheme="minorEastAsia"/>
          <w:sz w:val="24"/>
          <w:highlight w:val="none"/>
          <w:lang w:val="en-US" w:eastAsia="zh-CN"/>
        </w:rPr>
        <w:t xml:space="preserve">ABC </w:t>
      </w:r>
    </w:p>
    <w:p>
      <w:pPr>
        <w:spacing w:line="360" w:lineRule="auto"/>
        <w:rPr>
          <w:rFonts w:hint="eastAsia" w:asciiTheme="minorEastAsia" w:hAnsiTheme="minorEastAsia"/>
          <w:sz w:val="24"/>
          <w:highlight w:val="none"/>
          <w:lang w:val="en-US" w:eastAsia="zh-CN"/>
        </w:rPr>
      </w:pPr>
      <w:r>
        <w:rPr>
          <w:rFonts w:hint="eastAsia" w:asciiTheme="minorEastAsia" w:hAnsiTheme="minorEastAsia"/>
          <w:sz w:val="24"/>
          <w:highlight w:val="none"/>
          <w:lang w:val="en-US" w:eastAsia="zh-CN"/>
        </w:rPr>
        <w:t>6、</w:t>
      </w:r>
    </w:p>
    <w:p>
      <w:pPr>
        <w:numPr>
          <w:ilvl w:val="0"/>
          <w:numId w:val="1"/>
        </w:numPr>
        <w:spacing w:line="360" w:lineRule="auto"/>
        <w:ind w:left="120" w:leftChars="0" w:firstLine="0" w:firstLineChars="0"/>
        <w:rPr>
          <w:rFonts w:hint="eastAsia" w:asciiTheme="minorEastAsia" w:hAnsiTheme="minorEastAsia"/>
          <w:sz w:val="24"/>
          <w:highlight w:val="none"/>
          <w:lang w:val="en-US" w:eastAsia="zh-CN"/>
        </w:rPr>
      </w:pPr>
      <w:r>
        <w:rPr>
          <w:rFonts w:hint="eastAsia" w:asciiTheme="minorEastAsia" w:hAnsiTheme="minorEastAsia"/>
          <w:sz w:val="24"/>
          <w:highlight w:val="none"/>
          <w:lang w:val="en-US" w:eastAsia="zh-CN"/>
        </w:rPr>
        <w:t xml:space="preserve">ACD </w:t>
      </w:r>
    </w:p>
    <w:p>
      <w:pPr>
        <w:numPr>
          <w:ilvl w:val="0"/>
          <w:numId w:val="1"/>
        </w:numPr>
        <w:spacing w:line="360" w:lineRule="auto"/>
        <w:ind w:left="120" w:leftChars="0" w:firstLine="0" w:firstLineChars="0"/>
        <w:rPr>
          <w:rFonts w:hint="default" w:asciiTheme="minorEastAsia" w:hAnsiTheme="minorEastAsia"/>
          <w:sz w:val="24"/>
          <w:highlight w:val="none"/>
          <w:lang w:val="en-US" w:eastAsia="zh-CN"/>
        </w:rPr>
      </w:pPr>
      <w:r>
        <w:rPr>
          <w:rFonts w:hint="eastAsia" w:asciiTheme="minorEastAsia" w:hAnsiTheme="minorEastAsia"/>
          <w:sz w:val="24"/>
          <w:highlight w:val="none"/>
          <w:lang w:val="en-US" w:eastAsia="zh-CN"/>
        </w:rPr>
        <w:t xml:space="preserve">BCD </w:t>
      </w:r>
    </w:p>
    <w:p>
      <w:pPr>
        <w:numPr>
          <w:ilvl w:val="0"/>
          <w:numId w:val="1"/>
        </w:numPr>
        <w:spacing w:line="360" w:lineRule="auto"/>
        <w:ind w:left="120" w:leftChars="0" w:firstLine="0" w:firstLineChars="0"/>
        <w:rPr>
          <w:rFonts w:hint="default" w:asciiTheme="minorEastAsia" w:hAnsiTheme="minorEastAsia"/>
          <w:sz w:val="24"/>
          <w:highlight w:val="none"/>
          <w:lang w:val="en-US" w:eastAsia="zh-CN"/>
        </w:rPr>
      </w:pPr>
      <w:r>
        <w:rPr>
          <w:rFonts w:hint="eastAsia" w:asciiTheme="minorEastAsia" w:hAnsiTheme="minorEastAsia"/>
          <w:sz w:val="24"/>
          <w:highlight w:val="none"/>
          <w:lang w:val="en-US" w:eastAsia="zh-CN"/>
        </w:rPr>
        <w:t xml:space="preserve">AB   </w:t>
      </w:r>
    </w:p>
    <w:p>
      <w:pPr>
        <w:numPr>
          <w:ilvl w:val="0"/>
          <w:numId w:val="1"/>
        </w:numPr>
        <w:spacing w:line="360" w:lineRule="auto"/>
        <w:ind w:left="120" w:leftChars="0" w:firstLine="0" w:firstLineChars="0"/>
        <w:rPr>
          <w:rFonts w:hint="default" w:asciiTheme="minorEastAsia" w:hAnsiTheme="minorEastAsia"/>
          <w:sz w:val="24"/>
          <w:highlight w:val="none"/>
          <w:lang w:val="en-US" w:eastAsia="zh-CN"/>
        </w:rPr>
      </w:pPr>
      <w:r>
        <w:rPr>
          <w:rFonts w:hint="eastAsia" w:asciiTheme="minorEastAsia" w:hAnsiTheme="minorEastAsia"/>
          <w:sz w:val="24"/>
          <w:highlight w:val="none"/>
          <w:lang w:val="en-US" w:eastAsia="zh-CN"/>
        </w:rPr>
        <w:t xml:space="preserve">C </w:t>
      </w:r>
    </w:p>
    <w:p>
      <w:pPr>
        <w:rPr>
          <w:rFonts w:ascii="宋体" w:hAnsi="宋体" w:cs="微软雅黑"/>
          <w:b/>
          <w:szCs w:val="21"/>
        </w:rPr>
      </w:pPr>
      <w:r>
        <w:rPr>
          <w:rFonts w:hint="eastAsia" w:ascii="宋体" w:hAnsi="宋体" w:cs="微软雅黑"/>
          <w:b/>
          <w:szCs w:val="21"/>
        </w:rPr>
        <w:t>三、简答题（</w:t>
      </w:r>
      <w:r>
        <w:rPr>
          <w:b/>
        </w:rPr>
        <w:t>每小题</w:t>
      </w:r>
      <w:r>
        <w:rPr>
          <w:rFonts w:hint="eastAsia"/>
          <w:b/>
        </w:rPr>
        <w:t>10</w:t>
      </w:r>
      <w:r>
        <w:rPr>
          <w:b/>
        </w:rPr>
        <w:t>分，共</w:t>
      </w:r>
      <w:r>
        <w:rPr>
          <w:rFonts w:hint="eastAsia"/>
          <w:b/>
        </w:rPr>
        <w:t>20</w:t>
      </w:r>
      <w:r>
        <w:rPr>
          <w:b/>
        </w:rPr>
        <w:t>分</w:t>
      </w:r>
      <w:r>
        <w:rPr>
          <w:rFonts w:hint="eastAsia" w:ascii="宋体" w:hAnsi="宋体" w:cs="微软雅黑"/>
          <w:b/>
          <w:szCs w:val="21"/>
        </w:rPr>
        <w:t>）</w:t>
      </w:r>
    </w:p>
    <w:p>
      <w:pPr>
        <w:spacing w:line="360" w:lineRule="auto"/>
        <w:rPr>
          <w:rFonts w:ascii="宋体" w:hAnsi="宋体" w:cs="宋体"/>
          <w:szCs w:val="21"/>
          <w:highlight w:val="yellow"/>
        </w:rPr>
      </w:pPr>
      <w:r>
        <w:rPr>
          <w:rFonts w:hint="eastAsia" w:ascii="宋体" w:hAnsi="宋体" w:cs="宋体"/>
          <w:szCs w:val="21"/>
          <w:highlight w:val="yellow"/>
        </w:rPr>
        <w:t>1.根据提单收货人抬头的不同，可分为哪几种提单？</w:t>
      </w:r>
    </w:p>
    <w:p>
      <w:pPr>
        <w:spacing w:line="360" w:lineRule="auto"/>
        <w:rPr>
          <w:rFonts w:ascii="宋体" w:hAnsi="宋体" w:cs="宋体"/>
          <w:szCs w:val="21"/>
          <w:highlight w:val="yellow"/>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PingFangSC-Regular" w:hAnsi="PingFangSC-Regular" w:eastAsia="PingFangSC-Regular" w:cs="PingFangSC-Regular"/>
          <w:i w:val="0"/>
          <w:iCs w:val="0"/>
          <w:caps w:val="0"/>
          <w:color w:val="000000"/>
          <w:spacing w:val="0"/>
          <w:sz w:val="21"/>
          <w:szCs w:val="21"/>
          <w:highlight w:val="yellow"/>
        </w:rPr>
      </w:pPr>
      <w:r>
        <w:rPr>
          <w:rFonts w:hint="default" w:ascii="PingFangSC-Regular" w:hAnsi="PingFangSC-Regular" w:eastAsia="PingFangSC-Regular" w:cs="PingFangSC-Regular"/>
          <w:i w:val="0"/>
          <w:iCs w:val="0"/>
          <w:caps w:val="0"/>
          <w:color w:val="000000"/>
          <w:spacing w:val="0"/>
          <w:kern w:val="0"/>
          <w:sz w:val="21"/>
          <w:szCs w:val="21"/>
          <w:highlight w:val="yellow"/>
          <w:shd w:val="clear" w:fill="FFFFFF"/>
          <w:lang w:val="en-US" w:eastAsia="zh-CN" w:bidi="ar"/>
        </w:rPr>
        <w:t>根据提单收货人抬头的不同可分为记名提单、不记名提单和指示提单。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highlight w:val="yellow"/>
        </w:rPr>
      </w:pPr>
      <w:r>
        <w:rPr>
          <w:rFonts w:hint="default" w:ascii="PingFangSC-Regular" w:hAnsi="PingFangSC-Regular" w:eastAsia="PingFangSC-Regular" w:cs="PingFangSC-Regular"/>
          <w:i w:val="0"/>
          <w:iCs w:val="0"/>
          <w:caps w:val="0"/>
          <w:color w:val="000000"/>
          <w:spacing w:val="0"/>
          <w:kern w:val="0"/>
          <w:sz w:val="21"/>
          <w:szCs w:val="21"/>
          <w:highlight w:val="yellow"/>
          <w:shd w:val="clear" w:fill="FFFFFF"/>
          <w:lang w:val="en-US" w:eastAsia="zh-CN" w:bidi="ar"/>
        </w:rPr>
        <w:t>(1)记名提单是指提单上的收货人栏内填明特定收货人名称,只能由该特定收货人提货,由于这种提单不能通过背书方式转让给第三方,它不能流通,故其在国际贸易中很少使用。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highlight w:val="yellow"/>
        </w:rPr>
      </w:pPr>
      <w:r>
        <w:rPr>
          <w:rFonts w:hint="default" w:ascii="PingFangSC-Regular" w:hAnsi="PingFangSC-Regular" w:eastAsia="PingFangSC-Regular" w:cs="PingFangSC-Regular"/>
          <w:i w:val="0"/>
          <w:iCs w:val="0"/>
          <w:caps w:val="0"/>
          <w:color w:val="000000"/>
          <w:spacing w:val="0"/>
          <w:kern w:val="0"/>
          <w:sz w:val="21"/>
          <w:szCs w:val="21"/>
          <w:highlight w:val="yellow"/>
          <w:shd w:val="clear" w:fill="FFFFFF"/>
          <w:lang w:val="en-US" w:eastAsia="zh-CN" w:bidi="ar"/>
        </w:rPr>
        <w:t>(2)不记名提单是指提单收货人栏内没有指明任何收货人,谁持有提单,谁就可以提货,承运人交货,只凭单,不凭人,采用这种提单风险大,故其在国际贸易中很少使用。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highlight w:val="yellow"/>
        </w:rPr>
      </w:pPr>
      <w:r>
        <w:rPr>
          <w:rFonts w:hint="default" w:ascii="PingFangSC-Regular" w:hAnsi="PingFangSC-Regular" w:eastAsia="PingFangSC-Regular" w:cs="PingFangSC-Regular"/>
          <w:i w:val="0"/>
          <w:iCs w:val="0"/>
          <w:caps w:val="0"/>
          <w:color w:val="000000"/>
          <w:spacing w:val="0"/>
          <w:kern w:val="0"/>
          <w:sz w:val="21"/>
          <w:szCs w:val="21"/>
          <w:highlight w:val="yellow"/>
          <w:shd w:val="clear" w:fill="FFFFFF"/>
          <w:lang w:val="en-US" w:eastAsia="zh-CN" w:bidi="ar"/>
        </w:rPr>
        <w:t>(3)指示提单是指提单上的收货人栏填写“凭指定”或“凭某某人指定”字样。这种提单可经过背书转让,故其在国际贸易中广为使用。目前在实际业务中,使用最多的是“凭指定”并经空白背书的提单,习惯上称其为“空白抬头、空白背书提单”。</w:t>
      </w:r>
    </w:p>
    <w:p>
      <w:pPr>
        <w:spacing w:line="360" w:lineRule="auto"/>
        <w:rPr>
          <w:rFonts w:ascii="宋体" w:hAnsi="宋体" w:cs="宋体"/>
          <w:szCs w:val="21"/>
        </w:rPr>
      </w:pPr>
    </w:p>
    <w:p>
      <w:pPr>
        <w:numPr>
          <w:ilvl w:val="0"/>
          <w:numId w:val="2"/>
        </w:numPr>
        <w:spacing w:line="360" w:lineRule="auto"/>
        <w:rPr>
          <w:rFonts w:ascii="宋体" w:hAnsi="宋体"/>
          <w:b/>
          <w:sz w:val="24"/>
        </w:rPr>
      </w:pPr>
      <w:r>
        <w:rPr>
          <w:rFonts w:hint="eastAsia" w:ascii="宋体" w:hAnsi="宋体" w:cs="宋体"/>
          <w:szCs w:val="21"/>
        </w:rPr>
        <w:t>信用证的性质。</w:t>
      </w:r>
    </w:p>
    <w:p>
      <w:pPr>
        <w:adjustRightInd w:val="0"/>
        <w:snapToGrid w:val="0"/>
        <w:spacing w:line="400" w:lineRule="exact"/>
        <w:rPr>
          <w:rFonts w:ascii="宋体" w:hAnsi="宋体"/>
          <w:b/>
          <w:sz w:val="24"/>
        </w:rPr>
      </w:pPr>
    </w:p>
    <w:p>
      <w:pPr>
        <w:adjustRightInd w:val="0"/>
        <w:snapToGrid w:val="0"/>
        <w:spacing w:line="400" w:lineRule="exact"/>
        <w:rPr>
          <w:rFonts w:ascii="宋体" w:hAnsi="宋体"/>
          <w:b/>
          <w:sz w:val="24"/>
          <w:highlight w:val="yellow"/>
        </w:rPr>
      </w:pPr>
      <w:r>
        <w:rPr>
          <w:rFonts w:ascii="PingFangSC-Regular" w:hAnsi="PingFangSC-Regular" w:eastAsia="PingFangSC-Regular" w:cs="PingFangSC-Regular"/>
          <w:i w:val="0"/>
          <w:iCs w:val="0"/>
          <w:caps w:val="0"/>
          <w:color w:val="000000"/>
          <w:spacing w:val="0"/>
          <w:sz w:val="21"/>
          <w:szCs w:val="21"/>
          <w:highlight w:val="yellow"/>
          <w:shd w:val="clear" w:fill="FFFFFF"/>
        </w:rPr>
        <w:t>(1)信用证是一种银行信用。信用证业务中银行承担第一性付款责任。出口商发出货物后,是向开证银行而不是进口商收取货款。(2)信用证是独立文件。虽然信用证的开立基于销售合同,但其一经开出,便不再依附于销售合同,成为独立的、自足的文件。(3)信用证是一种单据买卖。在信用证业务中,银行处理的是单据,而非销售合同中的货物、服务或履约行为。</w:t>
      </w:r>
    </w:p>
    <w:p>
      <w:pPr>
        <w:adjustRightInd w:val="0"/>
        <w:snapToGrid w:val="0"/>
        <w:spacing w:line="400" w:lineRule="exact"/>
        <w:rPr>
          <w:rFonts w:ascii="宋体" w:hAnsi="宋体"/>
          <w:b/>
          <w:sz w:val="24"/>
        </w:rPr>
      </w:pPr>
    </w:p>
    <w:p>
      <w:pPr>
        <w:adjustRightInd w:val="0"/>
        <w:snapToGrid w:val="0"/>
        <w:spacing w:line="400" w:lineRule="exact"/>
        <w:rPr>
          <w:rFonts w:ascii="宋体" w:hAnsi="宋体"/>
          <w:b/>
          <w:sz w:val="24"/>
        </w:rPr>
      </w:pPr>
    </w:p>
    <w:p>
      <w:pPr>
        <w:adjustRightInd w:val="0"/>
        <w:snapToGrid w:val="0"/>
        <w:spacing w:line="400" w:lineRule="exact"/>
        <w:rPr>
          <w:rFonts w:ascii="宋体" w:hAnsi="宋体" w:cs="微软雅黑"/>
          <w:b/>
          <w:szCs w:val="21"/>
        </w:rPr>
      </w:pPr>
      <w:r>
        <w:rPr>
          <w:rFonts w:hint="eastAsia" w:ascii="宋体" w:hAnsi="宋体" w:cs="微软雅黑"/>
          <w:b/>
          <w:szCs w:val="21"/>
        </w:rPr>
        <w:t>四．案例分析题（每题10分，共20分）</w:t>
      </w:r>
    </w:p>
    <w:p>
      <w:pPr>
        <w:adjustRightInd w:val="0"/>
        <w:snapToGrid w:val="0"/>
        <w:spacing w:line="400" w:lineRule="exact"/>
        <w:rPr>
          <w:rFonts w:ascii="宋体" w:hAnsi="宋体" w:cs="微软雅黑"/>
          <w:bCs/>
          <w:szCs w:val="21"/>
        </w:rPr>
      </w:pPr>
      <w:r>
        <w:rPr>
          <w:rFonts w:hint="eastAsia" w:ascii="宋体" w:hAnsi="宋体" w:cs="微软雅黑"/>
          <w:bCs/>
          <w:szCs w:val="21"/>
        </w:rPr>
        <w:t>1. 我方以FCA贸易术语从意大利进口布料一批，双方约定最迟的装运期为4月12日，由于我方业务员的疏忽，导致意大利出口商在4月15日才将货物交给我方指定的承运人。当我方收到货物后，发现部分货物有水渍，据查是因为货交承运人前两天大雨淋湿所致。据此，我方向意大利出口商提出索赔，但遭到拒绝。问：我方的索赔是否有理？为什么？</w:t>
      </w: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highlight w:val="yellow"/>
        </w:rPr>
      </w:pPr>
      <w:r>
        <w:rPr>
          <w:rFonts w:ascii="PingFangSC-Regular" w:hAnsi="PingFangSC-Regular" w:eastAsia="PingFangSC-Regular" w:cs="PingFangSC-Regular"/>
          <w:i w:val="0"/>
          <w:iCs w:val="0"/>
          <w:caps w:val="0"/>
          <w:color w:val="000000"/>
          <w:spacing w:val="0"/>
          <w:sz w:val="21"/>
          <w:szCs w:val="21"/>
          <w:highlight w:val="yellow"/>
          <w:shd w:val="clear" w:fill="FFFFFF"/>
        </w:rPr>
        <w:t>答：我方的索赔是无理的。因为本案中，我方收到货物后，所发现的部分货物的水 渍，是因我方业务员的疏忽导致意大利商人推迟交货而造成的，责任应由我方承担。因此， 我方的索赔是无理的。</w:t>
      </w: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r>
        <w:rPr>
          <w:rFonts w:hint="eastAsia" w:ascii="宋体" w:hAnsi="宋体" w:cs="微软雅黑"/>
          <w:bCs/>
          <w:szCs w:val="21"/>
        </w:rPr>
        <w:t>2. 我某出口公司以CIF条件出口纯棉T恤一批，装运前按合同规定投保了水渍险，货物装妥顺利起航。但航行不久，在海上遭受暴风雨，海水涌进舱内，致使部分货物遭到水渍，损失价值达1000美元。数日后，又发现部分货物因舱内食用水管破裂漏水致使受损，估计货损达1500美元。问这些损失应由谁承担?为什么？</w:t>
      </w:r>
    </w:p>
    <w:p>
      <w:pPr>
        <w:adjustRightInd w:val="0"/>
        <w:snapToGrid w:val="0"/>
        <w:spacing w:line="400" w:lineRule="exact"/>
        <w:rPr>
          <w:rFonts w:hint="eastAsia" w:ascii="宋体" w:hAnsi="宋体" w:eastAsia="宋体" w:cs="微软雅黑"/>
          <w:bCs/>
          <w:szCs w:val="21"/>
          <w:highlight w:val="yellow"/>
          <w:lang w:eastAsia="zh-CN"/>
        </w:rPr>
      </w:pPr>
      <w:r>
        <w:rPr>
          <w:rFonts w:ascii="PingFangSC-Regular" w:hAnsi="PingFangSC-Regular" w:eastAsia="PingFangSC-Regular" w:cs="PingFangSC-Regular"/>
          <w:i w:val="0"/>
          <w:iCs w:val="0"/>
          <w:caps w:val="0"/>
          <w:color w:val="000000"/>
          <w:spacing w:val="0"/>
          <w:sz w:val="21"/>
          <w:szCs w:val="21"/>
          <w:highlight w:val="yellow"/>
          <w:shd w:val="clear" w:fill="FFFFFF"/>
        </w:rPr>
        <w:t>遭到水渍的 纯棉 T 恤 损失是是因运输工具遭遇自然灾害造成的部分损失,属于水渍险承保责任范围,应由保险公司负责承担损失赔偿。而 舱内食用水管破裂不 属自然灾害和海上的意外事故导致的,由此导致的 纯棉 T 恤 损失不属于水渍险承保责任范围,保险公司不予赔偿。按 CIF 条件成交,卖方只需按合同规定险别投保,运输途中的风险由买方承担,故该案例中的 纯棉 T 恤因舱内食用水管破裂 的 损失只能由买方自行承担</w:t>
      </w:r>
      <w:r>
        <w:rPr>
          <w:rFonts w:hint="eastAsia" w:ascii="PingFangSC-Regular" w:hAnsi="PingFangSC-Regular" w:cs="PingFangSC-Regular"/>
          <w:i w:val="0"/>
          <w:iCs w:val="0"/>
          <w:caps w:val="0"/>
          <w:color w:val="000000"/>
          <w:spacing w:val="0"/>
          <w:sz w:val="21"/>
          <w:szCs w:val="21"/>
          <w:highlight w:val="yellow"/>
          <w:shd w:val="clear" w:fill="FFFFFF"/>
          <w:lang w:eastAsia="zh-CN"/>
        </w:rPr>
        <w:t>。</w:t>
      </w: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
          <w:szCs w:val="21"/>
        </w:rPr>
      </w:pPr>
      <w:r>
        <w:rPr>
          <w:rFonts w:hint="eastAsia" w:ascii="宋体" w:hAnsi="宋体" w:cs="微软雅黑"/>
          <w:b/>
          <w:szCs w:val="21"/>
        </w:rPr>
        <w:t>五、论述题（每小题20分，共20分）</w:t>
      </w:r>
    </w:p>
    <w:p>
      <w:pPr>
        <w:adjustRightInd w:val="0"/>
        <w:snapToGrid w:val="0"/>
        <w:spacing w:line="400" w:lineRule="exact"/>
        <w:rPr>
          <w:rFonts w:ascii="宋体" w:hAnsi="宋体" w:cs="微软雅黑"/>
          <w:bCs/>
          <w:szCs w:val="21"/>
        </w:rPr>
      </w:pPr>
      <w:r>
        <w:rPr>
          <w:rFonts w:hint="eastAsia" w:ascii="宋体" w:hAnsi="宋体" w:cs="微软雅黑"/>
          <w:bCs/>
          <w:szCs w:val="21"/>
        </w:rPr>
        <w:t>1.请谈一谈《国际贸易实务》这门课。（要求各章节知识点准确清晰，字数要求300字以上）。</w:t>
      </w:r>
    </w:p>
    <w:p>
      <w:pPr>
        <w:adjustRightInd w:val="0"/>
        <w:snapToGrid w:val="0"/>
        <w:spacing w:line="400" w:lineRule="exact"/>
        <w:rPr>
          <w:rFonts w:hint="eastAsia" w:ascii="宋体" w:hAnsi="宋体" w:cs="微软雅黑"/>
          <w:bCs/>
          <w:szCs w:val="21"/>
          <w:highlight w:val="yellow"/>
        </w:rPr>
      </w:pPr>
      <w:r>
        <w:rPr>
          <w:rFonts w:hint="eastAsia" w:ascii="宋体" w:hAnsi="宋体" w:cs="微软雅黑"/>
          <w:bCs/>
          <w:szCs w:val="21"/>
          <w:highlight w:val="yellow"/>
        </w:rPr>
        <w:t>国际贸易实务是国际贸易专业学生的一门必修课程，它具有很强的综合性、实践性和应用性。尽管</w:t>
      </w:r>
    </w:p>
    <w:p>
      <w:pPr>
        <w:adjustRightInd w:val="0"/>
        <w:snapToGrid w:val="0"/>
        <w:spacing w:line="400" w:lineRule="exact"/>
        <w:rPr>
          <w:rFonts w:ascii="宋体" w:hAnsi="宋体" w:cs="微软雅黑"/>
          <w:bCs/>
          <w:szCs w:val="21"/>
          <w:highlight w:val="yellow"/>
        </w:rPr>
      </w:pPr>
      <w:r>
        <w:rPr>
          <w:rFonts w:hint="eastAsia" w:ascii="宋体" w:hAnsi="宋体" w:cs="微软雅黑"/>
          <w:bCs/>
          <w:szCs w:val="21"/>
          <w:highlight w:val="yellow"/>
        </w:rPr>
        <w:t>经过几年的教学改革，教学内容不断丰富，但在教学的过程中，实践的作用没有完全发挥出来。本文将结合实际教学过程中出现的问题，重点突出专业实践的培养，探讨教学改革的内容。国际贸易实务课是国际经济与贸易专业学生的一门主要课程，它具有综合性、实践性、应用性和时效性等特点知识涉及面较广。通过本课程的讲授可以让学生全面系统地掌握国际贸易基本概念、理论和惯例弄清实务操作机理，领会相关知识、理论和技法掌握《公约)、Incoterms2000、UCP600</w:t>
      </w:r>
      <w:r>
        <w:rPr>
          <w:rFonts w:hint="eastAsia" w:ascii="宋体" w:hAnsi="宋体" w:cs="微软雅黑"/>
          <w:bCs/>
          <w:szCs w:val="21"/>
          <w:highlight w:val="yellow"/>
          <w:lang w:eastAsia="zh-CN"/>
        </w:rPr>
        <w:t>、</w:t>
      </w:r>
      <w:r>
        <w:rPr>
          <w:rFonts w:hint="eastAsia" w:ascii="宋体" w:hAnsi="宋体" w:cs="微软雅黑"/>
          <w:bCs/>
          <w:szCs w:val="21"/>
          <w:highlight w:val="yellow"/>
        </w:rPr>
        <w:t>SP98等常用国际公约和惯例，理解分析和处理国际贸易业务中出现的现实问题;并且通过仿真模拟操作</w:t>
      </w:r>
      <w:r>
        <w:rPr>
          <w:rFonts w:hint="eastAsia" w:ascii="宋体" w:hAnsi="宋体" w:cs="微软雅黑"/>
          <w:bCs/>
          <w:szCs w:val="21"/>
          <w:highlight w:val="yellow"/>
          <w:lang w:eastAsia="zh-CN"/>
        </w:rPr>
        <w:t>。</w:t>
      </w:r>
      <w:r>
        <w:rPr>
          <w:rFonts w:hint="eastAsia" w:ascii="宋体" w:hAnsi="宋体" w:cs="微软雅黑"/>
          <w:bCs/>
          <w:szCs w:val="21"/>
          <w:highlight w:val="yellow"/>
        </w:rPr>
        <w:t>可以让学生全面系统的掌握国际贸易业务的具体流程和操作.成为社会需要的外经贸人才。教师应根据教学大纲和授课情况编写考核大纲.在考核大纲中要详细说明本课程的命题方式以指导学生的学习方向。在命题时，除了考核基础知识外应更加注重对专业技能的考核特别是在细化所学知识的基础上最大限度地加一些能将所学专业知识融合到实践中的应用型命题。同时，为了体现本课程的时效性.考核大纲和试题库应经常调整和更新。</w:t>
      </w: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adjustRightInd w:val="0"/>
        <w:snapToGrid w:val="0"/>
        <w:spacing w:line="400" w:lineRule="exact"/>
        <w:rPr>
          <w:rFonts w:ascii="宋体" w:hAnsi="宋体" w:cs="微软雅黑"/>
          <w:bCs/>
          <w:szCs w:val="21"/>
        </w:rPr>
      </w:pPr>
    </w:p>
    <w:p>
      <w:pPr>
        <w:numPr>
          <w:ilvl w:val="0"/>
          <w:numId w:val="0"/>
        </w:numPr>
        <w:rPr>
          <w:rFonts w:hint="default" w:ascii="宋体" w:hAnsi="宋体" w:eastAsia="宋体" w:cs="宋体"/>
          <w:kern w:val="0"/>
          <w:sz w:val="24"/>
          <w:szCs w:val="24"/>
          <w:highlight w:val="yellow"/>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2D51D"/>
    <w:multiLevelType w:val="singleLevel"/>
    <w:tmpl w:val="0C92D51D"/>
    <w:lvl w:ilvl="0" w:tentative="0">
      <w:start w:val="7"/>
      <w:numFmt w:val="decimal"/>
      <w:suff w:val="nothing"/>
      <w:lvlText w:val="%1、"/>
      <w:lvlJc w:val="left"/>
      <w:pPr>
        <w:ind w:left="120" w:leftChars="0" w:firstLine="0" w:firstLineChars="0"/>
      </w:pPr>
    </w:lvl>
  </w:abstractNum>
  <w:abstractNum w:abstractNumId="1">
    <w:nsid w:val="23B8753C"/>
    <w:multiLevelType w:val="multilevel"/>
    <w:tmpl w:val="23B8753C"/>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0E803213"/>
    <w:rsid w:val="2B020BFF"/>
    <w:rsid w:val="31004822"/>
    <w:rsid w:val="4C9A418F"/>
    <w:rsid w:val="579C6136"/>
    <w:rsid w:val="5BCF4466"/>
    <w:rsid w:val="60F434B9"/>
    <w:rsid w:val="632C3D6D"/>
    <w:rsid w:val="6DF1268E"/>
    <w:rsid w:val="70E75D33"/>
    <w:rsid w:val="74F35FB4"/>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spacing w:beforeLines="50" w:line="360" w:lineRule="auto"/>
      <w:jc w:val="left"/>
      <w:outlineLvl w:val="2"/>
    </w:pPr>
    <w:rPr>
      <w:b/>
      <w:color w:val="000080"/>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page number"/>
    <w:basedOn w:val="7"/>
    <w:qFormat/>
    <w:uiPriority w:val="0"/>
  </w:style>
  <w:style w:type="character" w:styleId="10">
    <w:name w:val="Emphasis"/>
    <w:basedOn w:val="7"/>
    <w:qFormat/>
    <w:uiPriority w:val="0"/>
    <w:rPr>
      <w:i/>
    </w:rPr>
  </w:style>
  <w:style w:type="character" w:styleId="11">
    <w:name w:val="Hyperlink"/>
    <w:basedOn w:val="7"/>
    <w:qFormat/>
    <w:uiPriority w:val="0"/>
    <w:rPr>
      <w:color w:val="0000FF"/>
      <w:u w:val="single"/>
    </w:rPr>
  </w:style>
  <w:style w:type="paragraph" w:customStyle="1" w:styleId="12">
    <w:name w:val="列出段落1"/>
    <w:basedOn w:val="1"/>
    <w:qFormat/>
    <w:uiPriority w:val="34"/>
    <w:pPr>
      <w:ind w:firstLine="420" w:firstLineChars="200"/>
    </w:pPr>
  </w:style>
  <w:style w:type="paragraph" w:customStyle="1" w:styleId="13">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1656</Words>
  <Characters>1747</Characters>
  <Lines>0</Lines>
  <Paragraphs>0</Paragraphs>
  <TotalTime>2</TotalTime>
  <ScaleCrop>false</ScaleCrop>
  <LinksUpToDate>false</LinksUpToDate>
  <CharactersWithSpaces>1783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2023-07-01T10:28:56Z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3CB5EE3934B74264B4F1DF66DAC41823_13</vt:lpwstr>
  </property>
</Properties>
</file>